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30" w:rsidRDefault="00EA3875" w:rsidP="00D55698">
      <w:pPr>
        <w:jc w:val="center"/>
        <w:rPr>
          <w:sz w:val="32"/>
          <w:szCs w:val="32"/>
        </w:rPr>
      </w:pPr>
      <w:r w:rsidRPr="00EA3875">
        <w:rPr>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-190195</wp:posOffset>
                </wp:positionH>
                <wp:positionV relativeFrom="paragraph">
                  <wp:posOffset>-215798</wp:posOffset>
                </wp:positionV>
                <wp:extent cx="6283757"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757" cy="709295"/>
                        </a:xfrm>
                        <a:prstGeom prst="rect">
                          <a:avLst/>
                        </a:prstGeom>
                        <a:solidFill>
                          <a:srgbClr val="FFFFFF"/>
                        </a:solidFill>
                        <a:ln w="9525">
                          <a:noFill/>
                          <a:miter lim="800000"/>
                          <a:headEnd/>
                          <a:tailEnd/>
                        </a:ln>
                      </wps:spPr>
                      <wps:txbx>
                        <w:txbxContent>
                          <w:p w:rsidR="00EA3875" w:rsidRDefault="00EA3875">
                            <w:r w:rsidRPr="00D67856">
                              <w:rPr>
                                <w:noProof/>
                                <w:sz w:val="32"/>
                                <w:szCs w:val="32"/>
                              </w:rPr>
                              <w:drawing>
                                <wp:inline distT="0" distB="0" distL="0" distR="0" wp14:anchorId="67483083" wp14:editId="577A020E">
                                  <wp:extent cx="1615128" cy="570509"/>
                                  <wp:effectExtent l="0" t="0" r="4445" b="1270"/>
                                  <wp:docPr id="3" name="Picture 3" descr="D:\WORK\Logos\DHH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Logos\DHH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938" cy="576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7pt;width:494.8pt;height:5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2vIg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" stroked="f">
                <v:textbox>
                  <w:txbxContent>
                    <w:p w:rsidR="00EA3875" w:rsidRDefault="00EA3875">
                      <w:r w:rsidRPr="00D67856">
                        <w:rPr>
                          <w:noProof/>
                          <w:sz w:val="32"/>
                          <w:szCs w:val="32"/>
                        </w:rPr>
                        <w:drawing>
                          <wp:inline distT="0" distB="0" distL="0" distR="0" wp14:anchorId="67483083" wp14:editId="577A020E">
                            <wp:extent cx="1615128" cy="570509"/>
                            <wp:effectExtent l="0" t="0" r="4445" b="1270"/>
                            <wp:docPr id="3" name="Picture 3" descr="D:\WORK\Logos\DHH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Logos\DHH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938" cy="576800"/>
                                    </a:xfrm>
                                    <a:prstGeom prst="rect">
                                      <a:avLst/>
                                    </a:prstGeom>
                                    <a:noFill/>
                                    <a:ln>
                                      <a:noFill/>
                                    </a:ln>
                                  </pic:spPr>
                                </pic:pic>
                              </a:graphicData>
                            </a:graphic>
                          </wp:inline>
                        </w:drawing>
                      </w:r>
                    </w:p>
                  </w:txbxContent>
                </v:textbox>
              </v:shape>
            </w:pict>
          </mc:Fallback>
        </mc:AlternateContent>
      </w:r>
      <w:r w:rsidRPr="00EA3875">
        <w:rPr>
          <w:noProof/>
          <w:sz w:val="32"/>
          <w:szCs w:val="32"/>
        </w:rPr>
        <mc:AlternateContent>
          <mc:Choice Requires="wps">
            <w:drawing>
              <wp:anchor distT="45720" distB="45720" distL="114300" distR="114300" simplePos="0" relativeHeight="251661312" behindDoc="0" locked="0" layoutInCell="1" allowOverlap="1" wp14:anchorId="1C2777D0" wp14:editId="312C202F">
                <wp:simplePos x="0" y="0"/>
                <wp:positionH relativeFrom="column">
                  <wp:posOffset>3173577</wp:posOffset>
                </wp:positionH>
                <wp:positionV relativeFrom="paragraph">
                  <wp:posOffset>-215620</wp:posOffset>
                </wp:positionV>
                <wp:extent cx="2830982" cy="746151"/>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982" cy="746151"/>
                        </a:xfrm>
                        <a:prstGeom prst="rect">
                          <a:avLst/>
                        </a:prstGeom>
                        <a:solidFill>
                          <a:srgbClr val="FFFFFF"/>
                        </a:solidFill>
                        <a:ln w="9525">
                          <a:noFill/>
                          <a:miter lim="800000"/>
                          <a:headEnd/>
                          <a:tailEnd/>
                        </a:ln>
                      </wps:spPr>
                      <wps:txbx>
                        <w:txbxContent>
                          <w:p w:rsidR="00EA3875" w:rsidRDefault="00EA3875" w:rsidP="00EA3875">
                            <w:r>
                              <w:rPr>
                                <w:rFonts w:eastAsia="Times New Roman"/>
                                <w:noProof/>
                              </w:rPr>
                              <w:drawing>
                                <wp:inline distT="0" distB="0" distL="0" distR="0" wp14:anchorId="2F3CDEE0" wp14:editId="4D3F005B">
                                  <wp:extent cx="2486101" cy="592531"/>
                                  <wp:effectExtent l="0" t="0" r="0" b="0"/>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e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47111" cy="6070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77D0" id="_x0000_s1027" type="#_x0000_t202" style="position:absolute;left:0;text-align:left;margin-left:249.9pt;margin-top:-17pt;width:222.9pt;height:5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xUIQIAACI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" stroked="f">
                <v:textbox>
                  <w:txbxContent>
                    <w:p w:rsidR="00EA3875" w:rsidRDefault="00EA3875" w:rsidP="00EA3875">
                      <w:r>
                        <w:rPr>
                          <w:rFonts w:eastAsia="Times New Roman"/>
                          <w:noProof/>
                        </w:rPr>
                        <w:drawing>
                          <wp:inline distT="0" distB="0" distL="0" distR="0" wp14:anchorId="2F3CDEE0" wp14:editId="4D3F005B">
                            <wp:extent cx="2486101" cy="592531"/>
                            <wp:effectExtent l="0" t="0" r="0" b="0"/>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e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47111" cy="607072"/>
                                    </a:xfrm>
                                    <a:prstGeom prst="rect">
                                      <a:avLst/>
                                    </a:prstGeom>
                                    <a:noFill/>
                                    <a:ln>
                                      <a:noFill/>
                                    </a:ln>
                                  </pic:spPr>
                                </pic:pic>
                              </a:graphicData>
                            </a:graphic>
                          </wp:inline>
                        </w:drawing>
                      </w:r>
                    </w:p>
                  </w:txbxContent>
                </v:textbox>
              </v:shape>
            </w:pict>
          </mc:Fallback>
        </mc:AlternateContent>
      </w:r>
      <w:r w:rsidR="0024630C" w:rsidRPr="00D55698">
        <w:rPr>
          <w:sz w:val="32"/>
          <w:szCs w:val="32"/>
        </w:rPr>
        <w:t>​</w:t>
      </w:r>
      <w:r w:rsidR="006E5630" w:rsidRPr="006E56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E5630" w:rsidRPr="006E5630">
        <w:rPr>
          <w:rFonts w:eastAsia="Times New Roman"/>
        </w:rPr>
        <w:t xml:space="preserve"> </w:t>
      </w:r>
      <w:r w:rsidR="006E5630">
        <w:rPr>
          <w:rFonts w:eastAsia="Times New Roman"/>
        </w:rPr>
        <w:t xml:space="preserve">   </w:t>
      </w:r>
      <w:r w:rsidR="006E5630">
        <w:rPr>
          <w:rFonts w:eastAsia="Times New Roman"/>
        </w:rPr>
        <w:tab/>
      </w:r>
      <w:r w:rsidR="00D83E00">
        <w:rPr>
          <w:rFonts w:eastAsia="Times New Roman"/>
        </w:rPr>
        <w:t xml:space="preserve">     </w:t>
      </w:r>
      <w:r w:rsidR="006E5630">
        <w:rPr>
          <w:rFonts w:eastAsia="Times New Roman"/>
        </w:rPr>
        <w:tab/>
      </w:r>
      <w:r w:rsidR="00D67856">
        <w:rPr>
          <w:rFonts w:eastAsia="Times New Roman"/>
        </w:rPr>
        <w:t xml:space="preserve">                 </w:t>
      </w:r>
      <w:r w:rsidR="006E5630">
        <w:rPr>
          <w:rFonts w:eastAsia="Times New Roman"/>
        </w:rPr>
        <w:tab/>
        <w:t xml:space="preserve">         </w:t>
      </w:r>
    </w:p>
    <w:p w:rsidR="006E5630" w:rsidRPr="00573472" w:rsidRDefault="006E5630" w:rsidP="00D55698">
      <w:pPr>
        <w:jc w:val="center"/>
        <w:rPr>
          <w:b/>
          <w:color w:val="000000" w:themeColor="text1"/>
          <w:sz w:val="2"/>
          <w:szCs w:val="32"/>
        </w:rPr>
      </w:pPr>
    </w:p>
    <w:p w:rsidR="00B83704" w:rsidRDefault="0024630C" w:rsidP="00D55698">
      <w:pPr>
        <w:jc w:val="center"/>
        <w:rPr>
          <w:b/>
          <w:color w:val="000000" w:themeColor="text1"/>
          <w:sz w:val="34"/>
          <w:szCs w:val="34"/>
        </w:rPr>
      </w:pPr>
      <w:r w:rsidRPr="00462C0C">
        <w:rPr>
          <w:b/>
          <w:color w:val="000000" w:themeColor="text1"/>
          <w:sz w:val="34"/>
          <w:szCs w:val="34"/>
        </w:rPr>
        <w:t>Strategies for Imp</w:t>
      </w:r>
      <w:r w:rsidR="00D55698" w:rsidRPr="00462C0C">
        <w:rPr>
          <w:b/>
          <w:color w:val="000000" w:themeColor="text1"/>
          <w:sz w:val="34"/>
          <w:szCs w:val="34"/>
        </w:rPr>
        <w:t>​roving</w:t>
      </w:r>
      <w:r w:rsidR="00605B8A">
        <w:rPr>
          <w:b/>
          <w:color w:val="000000" w:themeColor="text1"/>
          <w:sz w:val="34"/>
          <w:szCs w:val="34"/>
        </w:rPr>
        <w:t xml:space="preserve"> Influenza Vaccination</w:t>
      </w:r>
      <w:r w:rsidR="00D55698" w:rsidRPr="00462C0C">
        <w:rPr>
          <w:b/>
          <w:color w:val="000000" w:themeColor="text1"/>
          <w:sz w:val="34"/>
          <w:szCs w:val="34"/>
        </w:rPr>
        <w:t xml:space="preserve"> </w:t>
      </w:r>
      <w:r w:rsidRPr="00462C0C">
        <w:rPr>
          <w:b/>
          <w:color w:val="000000" w:themeColor="text1"/>
          <w:sz w:val="34"/>
          <w:szCs w:val="34"/>
        </w:rPr>
        <w:t>Rates</w:t>
      </w:r>
      <w:r w:rsidR="00B83704">
        <w:rPr>
          <w:b/>
          <w:color w:val="000000" w:themeColor="text1"/>
          <w:sz w:val="34"/>
          <w:szCs w:val="34"/>
        </w:rPr>
        <w:t xml:space="preserve"> </w:t>
      </w:r>
    </w:p>
    <w:p w:rsidR="0024630C" w:rsidRPr="00462C0C" w:rsidRDefault="00B83704" w:rsidP="00D55698">
      <w:pPr>
        <w:jc w:val="center"/>
        <w:rPr>
          <w:color w:val="000000" w:themeColor="text1"/>
          <w:sz w:val="34"/>
          <w:szCs w:val="34"/>
        </w:rPr>
      </w:pPr>
      <w:r>
        <w:rPr>
          <w:b/>
          <w:color w:val="000000" w:themeColor="text1"/>
          <w:sz w:val="34"/>
          <w:szCs w:val="34"/>
        </w:rPr>
        <w:t xml:space="preserve">during the 2019 – 2020 </w:t>
      </w:r>
      <w:r w:rsidR="00605B8A">
        <w:rPr>
          <w:b/>
          <w:color w:val="000000" w:themeColor="text1"/>
          <w:sz w:val="34"/>
          <w:szCs w:val="34"/>
        </w:rPr>
        <w:t xml:space="preserve">Flu </w:t>
      </w:r>
      <w:r>
        <w:rPr>
          <w:b/>
          <w:color w:val="000000" w:themeColor="text1"/>
          <w:sz w:val="34"/>
          <w:szCs w:val="34"/>
        </w:rPr>
        <w:t>Season</w:t>
      </w:r>
    </w:p>
    <w:p w:rsidR="00B83704" w:rsidRPr="00B83704" w:rsidRDefault="0024630C" w:rsidP="00B83704">
      <w:pPr>
        <w:rPr>
          <w:rFonts w:ascii="Arial" w:hAnsi="Arial" w:cs="Arial"/>
        </w:rPr>
      </w:pPr>
      <w:r>
        <w:t>​</w:t>
      </w:r>
      <w:r w:rsidR="00F807C7" w:rsidRPr="00F807C7">
        <w:rPr>
          <w:rFonts w:ascii="Arial" w:hAnsi="Arial" w:cs="Arial"/>
        </w:rPr>
        <w:t>Implement one or more of the evidence-b</w:t>
      </w:r>
      <w:r w:rsidR="00B83704">
        <w:rPr>
          <w:rFonts w:ascii="Arial" w:hAnsi="Arial" w:cs="Arial"/>
        </w:rPr>
        <w:t>ased strategies below to increase influenza</w:t>
      </w:r>
      <w:r w:rsidR="00F807C7" w:rsidRPr="00F807C7">
        <w:rPr>
          <w:rFonts w:ascii="Arial" w:hAnsi="Arial" w:cs="Arial"/>
        </w:rPr>
        <w:t xml:space="preserve"> immunization coverage rates in your practice.</w:t>
      </w:r>
      <w:r w:rsidR="00B83704" w:rsidRPr="00B83704">
        <w:t xml:space="preserve"> </w:t>
      </w:r>
      <w:r w:rsidR="00B83704" w:rsidRPr="00B83704">
        <w:rPr>
          <w:rFonts w:ascii="Arial" w:hAnsi="Arial" w:cs="Arial"/>
        </w:rPr>
        <w:t>Louisiana currently has the highest influenza rates in the nation with influenza activity cont</w:t>
      </w:r>
      <w:r w:rsidR="00605B8A">
        <w:rPr>
          <w:rFonts w:ascii="Arial" w:hAnsi="Arial" w:cs="Arial"/>
        </w:rPr>
        <w:t>inuing to increase</w:t>
      </w:r>
      <w:r w:rsidR="00B83704" w:rsidRPr="00B83704">
        <w:rPr>
          <w:rFonts w:ascii="Arial" w:hAnsi="Arial" w:cs="Arial"/>
        </w:rPr>
        <w:t xml:space="preserve"> in recent wee</w:t>
      </w:r>
      <w:r w:rsidR="00B83704">
        <w:rPr>
          <w:rFonts w:ascii="Arial" w:hAnsi="Arial" w:cs="Arial"/>
        </w:rPr>
        <w:t xml:space="preserve">ks. </w:t>
      </w:r>
      <w:r w:rsidR="00B83704" w:rsidRPr="00B83704">
        <w:rPr>
          <w:rFonts w:ascii="Arial" w:hAnsi="Arial" w:cs="Arial"/>
        </w:rPr>
        <w:t>School-aged children have been most impact</w:t>
      </w:r>
      <w:r w:rsidR="00605B8A">
        <w:rPr>
          <w:rFonts w:ascii="Arial" w:hAnsi="Arial" w:cs="Arial"/>
        </w:rPr>
        <w:t xml:space="preserve">ed </w:t>
      </w:r>
      <w:r w:rsidR="00B83704" w:rsidRPr="00B83704">
        <w:rPr>
          <w:rFonts w:ascii="Arial" w:hAnsi="Arial" w:cs="Arial"/>
        </w:rPr>
        <w:t xml:space="preserve">with numerous school outbreaks being reported. </w:t>
      </w:r>
    </w:p>
    <w:p w:rsidR="00B83704" w:rsidRPr="00B83704" w:rsidRDefault="00B83704" w:rsidP="00B83704">
      <w:pPr>
        <w:rPr>
          <w:rFonts w:ascii="Arial" w:hAnsi="Arial" w:cs="Arial"/>
        </w:rPr>
      </w:pPr>
      <w:r w:rsidRPr="00B83704">
        <w:rPr>
          <w:rFonts w:ascii="Arial" w:hAnsi="Arial" w:cs="Arial"/>
        </w:rPr>
        <w:t>Providers should encourage all patients six months of age and older who have not yet received an influenza vaccination this season to b</w:t>
      </w:r>
      <w:r w:rsidR="00605B8A">
        <w:rPr>
          <w:rFonts w:ascii="Arial" w:hAnsi="Arial" w:cs="Arial"/>
        </w:rPr>
        <w:t>e vaccinated against influenza. Flu vaccination</w:t>
      </w:r>
      <w:r w:rsidRPr="00B83704">
        <w:rPr>
          <w:rFonts w:ascii="Arial" w:hAnsi="Arial" w:cs="Arial"/>
        </w:rPr>
        <w:t xml:space="preserve"> has many benefits. Flu vaccination can: </w:t>
      </w:r>
    </w:p>
    <w:p w:rsidR="00B83704" w:rsidRPr="00B83704" w:rsidRDefault="00B83704" w:rsidP="00B83704">
      <w:pPr>
        <w:pStyle w:val="ListParagraph"/>
        <w:numPr>
          <w:ilvl w:val="0"/>
          <w:numId w:val="3"/>
        </w:numPr>
        <w:rPr>
          <w:rFonts w:ascii="Arial" w:hAnsi="Arial" w:cs="Arial"/>
        </w:rPr>
      </w:pPr>
      <w:r w:rsidRPr="00B83704">
        <w:rPr>
          <w:rFonts w:ascii="Arial" w:hAnsi="Arial" w:cs="Arial"/>
        </w:rPr>
        <w:t>Reduce the risk of flu illness and serious flu outcomes like hospitalization, ICU admission or even death.</w:t>
      </w:r>
    </w:p>
    <w:p w:rsidR="00B83704" w:rsidRPr="00B83704" w:rsidRDefault="00B83704" w:rsidP="00B83704">
      <w:pPr>
        <w:pStyle w:val="ListParagraph"/>
        <w:numPr>
          <w:ilvl w:val="0"/>
          <w:numId w:val="3"/>
        </w:numPr>
        <w:rPr>
          <w:rFonts w:ascii="Arial" w:hAnsi="Arial" w:cs="Arial"/>
        </w:rPr>
      </w:pPr>
      <w:r w:rsidRPr="00B83704">
        <w:rPr>
          <w:rFonts w:ascii="Arial" w:hAnsi="Arial" w:cs="Arial"/>
        </w:rPr>
        <w:t xml:space="preserve">Prevent millions of illnesses, tens of thousands of hospitalizations and thousands of deaths every year (nationally).  </w:t>
      </w:r>
    </w:p>
    <w:p w:rsidR="00B83704" w:rsidRPr="00B83704" w:rsidRDefault="00B83704" w:rsidP="00B83704">
      <w:pPr>
        <w:pStyle w:val="ListParagraph"/>
        <w:numPr>
          <w:ilvl w:val="0"/>
          <w:numId w:val="3"/>
        </w:numPr>
        <w:rPr>
          <w:rFonts w:ascii="Arial" w:hAnsi="Arial" w:cs="Arial"/>
        </w:rPr>
      </w:pPr>
      <w:r w:rsidRPr="00B83704">
        <w:rPr>
          <w:rFonts w:ascii="Arial" w:hAnsi="Arial" w:cs="Arial"/>
        </w:rPr>
        <w:t xml:space="preserve">Make illness less severe if children do get sick. </w:t>
      </w:r>
    </w:p>
    <w:p w:rsidR="0024630C" w:rsidRDefault="00B83704" w:rsidP="00B83704">
      <w:pPr>
        <w:rPr>
          <w:rFonts w:ascii="Arial" w:hAnsi="Arial" w:cs="Arial"/>
        </w:rPr>
      </w:pPr>
      <w:r w:rsidRPr="00B83704">
        <w:rPr>
          <w:rFonts w:ascii="Arial" w:hAnsi="Arial" w:cs="Arial"/>
        </w:rPr>
        <w:t>As you know, in recent years, Louisiana has ranked among the lowest in the nation for stat</w:t>
      </w:r>
      <w:r w:rsidR="006712B7">
        <w:rPr>
          <w:rFonts w:ascii="Arial" w:hAnsi="Arial" w:cs="Arial"/>
        </w:rPr>
        <w:t xml:space="preserve">ewide flu vaccination coverage. </w:t>
      </w:r>
      <w:r w:rsidRPr="00B83704">
        <w:rPr>
          <w:rFonts w:ascii="Arial" w:hAnsi="Arial" w:cs="Arial"/>
        </w:rPr>
        <w:t>Let’s all work to reverse this trend and get our children and teens vaccinat</w:t>
      </w:r>
      <w:r>
        <w:rPr>
          <w:rFonts w:ascii="Arial" w:hAnsi="Arial" w:cs="Arial"/>
        </w:rPr>
        <w:t>ed this flu season.</w:t>
      </w:r>
    </w:p>
    <w:p w:rsidR="00605B8A" w:rsidRDefault="009C2EFB" w:rsidP="009C2EFB">
      <w:pPr>
        <w:rPr>
          <w:rFonts w:ascii="Arial" w:hAnsi="Arial" w:cs="Arial"/>
          <w:b/>
          <w:color w:val="1F4E79" w:themeColor="accent1" w:themeShade="80"/>
        </w:rPr>
      </w:pPr>
      <w:r w:rsidRPr="009C2EFB">
        <w:rPr>
          <w:rFonts w:ascii="Arial" w:hAnsi="Arial" w:cs="Arial"/>
          <w:b/>
          <w:color w:val="1F4E79" w:themeColor="accent1" w:themeShade="80"/>
        </w:rPr>
        <w:t>Patient Reminder-Recall</w:t>
      </w:r>
    </w:p>
    <w:p w:rsidR="009C2EFB" w:rsidRPr="00605B8A" w:rsidRDefault="009C2EFB" w:rsidP="009C2EFB">
      <w:pPr>
        <w:rPr>
          <w:rFonts w:ascii="Arial" w:hAnsi="Arial" w:cs="Arial"/>
          <w:b/>
          <w:color w:val="1F4E79" w:themeColor="accent1" w:themeShade="80"/>
        </w:rPr>
      </w:pPr>
      <w:r w:rsidRPr="009C2EFB">
        <w:rPr>
          <w:rFonts w:ascii="Arial" w:hAnsi="Arial" w:cs="Arial"/>
        </w:rPr>
        <w:t xml:space="preserve">Immunization reminder-recall systems are cost-effective methods to identify and notify families whose children are due soon for immunizations (reminder) or are already behind (recall). Reminder and recall systems are powerful ways to ensure optimal vaccination rates. Staff members first pull a list containing names and contact information of patients who are due or overdue for immunizations and then contact those patients to schedule a time to receive immunizations. The </w:t>
      </w:r>
      <w:r>
        <w:rPr>
          <w:rFonts w:ascii="Arial" w:hAnsi="Arial" w:cs="Arial"/>
        </w:rPr>
        <w:t>Louisiana Immunization Network</w:t>
      </w:r>
      <w:r w:rsidRPr="009C2EFB">
        <w:rPr>
          <w:rFonts w:ascii="Arial" w:hAnsi="Arial" w:cs="Arial"/>
        </w:rPr>
        <w:t xml:space="preserve"> (LINKS) and many electronic health record system</w:t>
      </w:r>
      <w:r>
        <w:rPr>
          <w:rFonts w:ascii="Arial" w:hAnsi="Arial" w:cs="Arial"/>
        </w:rPr>
        <w:t>s</w:t>
      </w:r>
      <w:r w:rsidRPr="009C2EFB">
        <w:rPr>
          <w:rFonts w:ascii="Arial" w:hAnsi="Arial" w:cs="Arial"/>
        </w:rPr>
        <w:t xml:space="preserve"> (EHRs) can </w:t>
      </w:r>
      <w:r w:rsidR="00D55698">
        <w:rPr>
          <w:rFonts w:ascii="Arial" w:hAnsi="Arial" w:cs="Arial"/>
        </w:rPr>
        <w:t>generate</w:t>
      </w:r>
      <w:r w:rsidRPr="009C2EFB">
        <w:rPr>
          <w:rFonts w:ascii="Arial" w:hAnsi="Arial" w:cs="Arial"/>
        </w:rPr>
        <w:t xml:space="preserve"> such reports easily if immunization records and family contact information </w:t>
      </w:r>
      <w:r w:rsidR="00D55698">
        <w:rPr>
          <w:rFonts w:ascii="Arial" w:hAnsi="Arial" w:cs="Arial"/>
        </w:rPr>
        <w:t xml:space="preserve">is </w:t>
      </w:r>
      <w:r w:rsidRPr="009C2EFB">
        <w:rPr>
          <w:rFonts w:ascii="Arial" w:hAnsi="Arial" w:cs="Arial"/>
        </w:rPr>
        <w:t>updated at every visit. Building these practices into patient flow is key.</w:t>
      </w:r>
    </w:p>
    <w:p w:rsidR="009C2EFB" w:rsidRPr="009C2EFB" w:rsidRDefault="009C2EFB" w:rsidP="009C2EFB">
      <w:pPr>
        <w:rPr>
          <w:rFonts w:ascii="Arial" w:hAnsi="Arial" w:cs="Arial"/>
        </w:rPr>
      </w:pPr>
      <w:r w:rsidRPr="009C2EFB">
        <w:rPr>
          <w:rFonts w:ascii="Arial" w:hAnsi="Arial" w:cs="Arial"/>
        </w:rPr>
        <w:t xml:space="preserve">Methods to remind or recall </w:t>
      </w:r>
      <w:r w:rsidR="00771575">
        <w:rPr>
          <w:rFonts w:ascii="Arial" w:hAnsi="Arial" w:cs="Arial"/>
        </w:rPr>
        <w:t>patients</w:t>
      </w:r>
      <w:r w:rsidRPr="009C2EFB">
        <w:rPr>
          <w:rFonts w:ascii="Arial" w:hAnsi="Arial" w:cs="Arial"/>
        </w:rPr>
        <w:t xml:space="preserve"> include:</w:t>
      </w:r>
    </w:p>
    <w:p w:rsidR="009C2EFB" w:rsidRPr="00D55698" w:rsidRDefault="009C2EFB" w:rsidP="00771575">
      <w:pPr>
        <w:pStyle w:val="ListParagraph"/>
        <w:numPr>
          <w:ilvl w:val="0"/>
          <w:numId w:val="2"/>
        </w:numPr>
        <w:spacing w:after="0" w:line="240" w:lineRule="auto"/>
        <w:ind w:left="630"/>
        <w:rPr>
          <w:rFonts w:ascii="Arial" w:hAnsi="Arial" w:cs="Arial"/>
          <w:b/>
        </w:rPr>
      </w:pPr>
      <w:r w:rsidRPr="00D55698">
        <w:rPr>
          <w:rFonts w:ascii="Arial" w:hAnsi="Arial" w:cs="Arial"/>
          <w:b/>
        </w:rPr>
        <w:t>Phone calls by office staff</w:t>
      </w:r>
    </w:p>
    <w:p w:rsidR="009C2EFB" w:rsidRPr="00D55698" w:rsidRDefault="009C2EFB" w:rsidP="00771575">
      <w:pPr>
        <w:spacing w:after="0" w:line="240" w:lineRule="auto"/>
        <w:ind w:left="630"/>
        <w:rPr>
          <w:rFonts w:ascii="Arial" w:hAnsi="Arial" w:cs="Arial"/>
        </w:rPr>
      </w:pPr>
      <w:r w:rsidRPr="00D55698">
        <w:rPr>
          <w:rFonts w:ascii="Arial" w:hAnsi="Arial" w:cs="Arial"/>
        </w:rPr>
        <w:t>Calls placed by office staff tend to be more effective than auto-dialer calls, but often cost more.</w:t>
      </w:r>
    </w:p>
    <w:p w:rsidR="009C2EFB" w:rsidRPr="00D55698" w:rsidRDefault="009C2EFB" w:rsidP="00771575">
      <w:pPr>
        <w:pStyle w:val="ListParagraph"/>
        <w:numPr>
          <w:ilvl w:val="0"/>
          <w:numId w:val="2"/>
        </w:numPr>
        <w:spacing w:after="0" w:line="240" w:lineRule="auto"/>
        <w:ind w:left="630"/>
        <w:rPr>
          <w:rFonts w:ascii="Arial" w:hAnsi="Arial" w:cs="Arial"/>
          <w:b/>
        </w:rPr>
      </w:pPr>
      <w:r w:rsidRPr="00D55698">
        <w:rPr>
          <w:rFonts w:ascii="Arial" w:hAnsi="Arial" w:cs="Arial"/>
          <w:b/>
        </w:rPr>
        <w:t>Auto-dialers</w:t>
      </w:r>
    </w:p>
    <w:p w:rsidR="009C2EFB" w:rsidRPr="00D55698" w:rsidRDefault="009C2EFB" w:rsidP="00771575">
      <w:pPr>
        <w:spacing w:after="0" w:line="240" w:lineRule="auto"/>
        <w:ind w:left="630"/>
        <w:rPr>
          <w:rFonts w:ascii="Arial" w:hAnsi="Arial" w:cs="Arial"/>
        </w:rPr>
      </w:pPr>
      <w:r w:rsidRPr="00D55698">
        <w:rPr>
          <w:rFonts w:ascii="Arial" w:hAnsi="Arial" w:cs="Arial"/>
        </w:rPr>
        <w:t>Auto-dialers automatically dial phone numbers and either play a recorded message or connect the call to a live person. Such systems also can be used for appointment reminders.</w:t>
      </w:r>
    </w:p>
    <w:p w:rsidR="009C2EFB" w:rsidRPr="00D55698" w:rsidRDefault="009C2EFB" w:rsidP="00771575">
      <w:pPr>
        <w:pStyle w:val="ListParagraph"/>
        <w:numPr>
          <w:ilvl w:val="0"/>
          <w:numId w:val="2"/>
        </w:numPr>
        <w:spacing w:after="0" w:line="240" w:lineRule="auto"/>
        <w:ind w:left="630"/>
        <w:rPr>
          <w:rFonts w:ascii="Arial" w:hAnsi="Arial" w:cs="Arial"/>
          <w:b/>
        </w:rPr>
      </w:pPr>
      <w:r w:rsidRPr="00D55698">
        <w:rPr>
          <w:rFonts w:ascii="Arial" w:hAnsi="Arial" w:cs="Arial"/>
          <w:b/>
        </w:rPr>
        <w:t>Mail reminder cards or letters</w:t>
      </w:r>
    </w:p>
    <w:p w:rsidR="009C2EFB" w:rsidRPr="00D55698" w:rsidRDefault="009C2EFB" w:rsidP="00771575">
      <w:pPr>
        <w:spacing w:after="0" w:line="240" w:lineRule="auto"/>
        <w:ind w:left="630"/>
        <w:rPr>
          <w:rFonts w:ascii="Arial" w:hAnsi="Arial" w:cs="Arial"/>
        </w:rPr>
      </w:pPr>
      <w:r w:rsidRPr="00D55698">
        <w:rPr>
          <w:rFonts w:ascii="Arial" w:hAnsi="Arial" w:cs="Arial"/>
        </w:rPr>
        <w:t xml:space="preserve">Your IIS or EHR may print these for you. </w:t>
      </w:r>
    </w:p>
    <w:p w:rsidR="009C2EFB" w:rsidRPr="00D55698" w:rsidRDefault="009C2EFB" w:rsidP="00771575">
      <w:pPr>
        <w:pStyle w:val="ListParagraph"/>
        <w:numPr>
          <w:ilvl w:val="0"/>
          <w:numId w:val="2"/>
        </w:numPr>
        <w:spacing w:after="0" w:line="240" w:lineRule="auto"/>
        <w:ind w:left="630"/>
        <w:rPr>
          <w:rFonts w:ascii="Arial" w:hAnsi="Arial" w:cs="Arial"/>
          <w:b/>
        </w:rPr>
      </w:pPr>
      <w:r w:rsidRPr="00D55698">
        <w:rPr>
          <w:rFonts w:ascii="Arial" w:hAnsi="Arial" w:cs="Arial"/>
          <w:b/>
        </w:rPr>
        <w:t>Text messages</w:t>
      </w:r>
    </w:p>
    <w:p w:rsidR="009C2EFB" w:rsidRDefault="009C2EFB" w:rsidP="00771575">
      <w:pPr>
        <w:spacing w:after="0" w:line="240" w:lineRule="auto"/>
        <w:ind w:left="630"/>
        <w:rPr>
          <w:rFonts w:ascii="Arial" w:hAnsi="Arial" w:cs="Arial"/>
        </w:rPr>
      </w:pPr>
      <w:r w:rsidRPr="00D55698">
        <w:rPr>
          <w:rFonts w:ascii="Arial" w:hAnsi="Arial" w:cs="Arial"/>
        </w:rPr>
        <w:t>Families opt-in for text messages so your office can text reminders to both parents and adolescents. While parents/guardians need to consent for the vaccine, it is useful to include adolescents in the discussion of their own care.</w:t>
      </w:r>
    </w:p>
    <w:p w:rsidR="006712B7" w:rsidRDefault="006712B7" w:rsidP="00771575">
      <w:pPr>
        <w:spacing w:after="0" w:line="240" w:lineRule="auto"/>
        <w:ind w:left="630"/>
        <w:rPr>
          <w:rFonts w:ascii="Arial" w:hAnsi="Arial" w:cs="Arial"/>
        </w:rPr>
      </w:pPr>
    </w:p>
    <w:p w:rsidR="006712B7" w:rsidRPr="00D55698" w:rsidRDefault="006712B7" w:rsidP="00771575">
      <w:pPr>
        <w:spacing w:after="0" w:line="240" w:lineRule="auto"/>
        <w:ind w:left="630"/>
        <w:rPr>
          <w:rFonts w:ascii="Arial" w:hAnsi="Arial" w:cs="Arial"/>
        </w:rPr>
      </w:pPr>
    </w:p>
    <w:p w:rsidR="009C2EFB" w:rsidRPr="00D55698" w:rsidRDefault="009C2EFB" w:rsidP="00771575">
      <w:pPr>
        <w:pStyle w:val="ListParagraph"/>
        <w:numPr>
          <w:ilvl w:val="0"/>
          <w:numId w:val="2"/>
        </w:numPr>
        <w:spacing w:after="0" w:line="240" w:lineRule="auto"/>
        <w:ind w:left="630"/>
        <w:rPr>
          <w:rFonts w:ascii="Arial" w:hAnsi="Arial" w:cs="Arial"/>
          <w:b/>
        </w:rPr>
      </w:pPr>
      <w:r w:rsidRPr="00D55698">
        <w:rPr>
          <w:rFonts w:ascii="Arial" w:hAnsi="Arial" w:cs="Arial"/>
          <w:b/>
        </w:rPr>
        <w:lastRenderedPageBreak/>
        <w:t>Patient Portals</w:t>
      </w:r>
    </w:p>
    <w:p w:rsidR="009C2EFB" w:rsidRPr="00D55698" w:rsidRDefault="009C2EFB" w:rsidP="00771575">
      <w:pPr>
        <w:spacing w:after="0" w:line="240" w:lineRule="auto"/>
        <w:ind w:left="630"/>
        <w:rPr>
          <w:rFonts w:ascii="Arial" w:hAnsi="Arial" w:cs="Arial"/>
        </w:rPr>
      </w:pPr>
      <w:r w:rsidRPr="00D55698">
        <w:rPr>
          <w:rFonts w:ascii="Arial" w:hAnsi="Arial" w:cs="Arial"/>
        </w:rPr>
        <w:t>Many EHR systems come with a patient portal option. Practices can use this feature to send emails to patients or parents prompting them to check their patient portal, which will remind them of vaccinations that are due.</w:t>
      </w:r>
    </w:p>
    <w:p w:rsidR="00605B8A" w:rsidRDefault="00605B8A" w:rsidP="009C2EFB">
      <w:pPr>
        <w:rPr>
          <w:rFonts w:ascii="Arial" w:hAnsi="Arial" w:cs="Arial"/>
        </w:rPr>
      </w:pPr>
    </w:p>
    <w:p w:rsidR="009C2EFB" w:rsidRPr="00D55698" w:rsidRDefault="009C2EFB" w:rsidP="009C2EFB">
      <w:pPr>
        <w:rPr>
          <w:rFonts w:ascii="Arial" w:hAnsi="Arial" w:cs="Arial"/>
        </w:rPr>
      </w:pPr>
      <w:r w:rsidRPr="00D55698">
        <w:rPr>
          <w:rFonts w:ascii="Arial" w:hAnsi="Arial" w:cs="Arial"/>
        </w:rPr>
        <w:t>For more information, visit:</w:t>
      </w:r>
    </w:p>
    <w:p w:rsidR="009C2EFB" w:rsidRPr="00D55698" w:rsidRDefault="009C2EFB" w:rsidP="009C2EFB">
      <w:pPr>
        <w:rPr>
          <w:rFonts w:ascii="Arial" w:hAnsi="Arial" w:cs="Arial"/>
        </w:rPr>
      </w:pPr>
      <w:r w:rsidRPr="00D55698">
        <w:rPr>
          <w:rFonts w:ascii="Arial" w:hAnsi="Arial" w:cs="Arial"/>
        </w:rPr>
        <w:t xml:space="preserve">Centers for Disease Control and Prevention (CDC) </w:t>
      </w:r>
      <w:hyperlink r:id="rId11" w:history="1">
        <w:r w:rsidR="006E5630" w:rsidRPr="002B01B2">
          <w:rPr>
            <w:rStyle w:val="Hyperlink"/>
            <w:rFonts w:ascii="Arial" w:hAnsi="Arial" w:cs="Arial"/>
          </w:rPr>
          <w:t>www.cdc.gov/vaccines/recs/reminder-sys.htm</w:t>
        </w:r>
      </w:hyperlink>
      <w:r w:rsidR="006E5630">
        <w:rPr>
          <w:rFonts w:ascii="Arial" w:hAnsi="Arial" w:cs="Arial"/>
        </w:rPr>
        <w:t xml:space="preserve"> </w:t>
      </w:r>
      <w:r w:rsidRPr="00D55698">
        <w:rPr>
          <w:rFonts w:ascii="Arial" w:hAnsi="Arial" w:cs="Arial"/>
        </w:rPr>
        <w:t xml:space="preserve">or the American Academy of Pediatrics (AAP) </w:t>
      </w:r>
      <w:hyperlink r:id="rId12" w:history="1">
        <w:r w:rsidR="00D55698" w:rsidRPr="00D55698">
          <w:rPr>
            <w:rStyle w:val="Hyperlink"/>
            <w:rFonts w:ascii="Arial" w:hAnsi="Arial" w:cs="Arial"/>
          </w:rPr>
          <w:t>https://www.aap.org/en-us/Documents/immunization_reminderrecall.pdf</w:t>
        </w:r>
      </w:hyperlink>
    </w:p>
    <w:p w:rsidR="00D55698" w:rsidRDefault="00D55698" w:rsidP="009C2EFB">
      <w:pPr>
        <w:rPr>
          <w:rFonts w:ascii="Arial" w:hAnsi="Arial" w:cs="Arial"/>
        </w:rPr>
      </w:pPr>
      <w:r w:rsidRPr="00D55698">
        <w:rPr>
          <w:rFonts w:ascii="Arial" w:hAnsi="Arial" w:cs="Arial"/>
        </w:rPr>
        <w:t>The following is a list of some auto-dialer vendors. Please note that we cannot endorse or recommend specific products or brands. This is only meant to aid you in your selection.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553"/>
      </w:tblGrid>
      <w:tr w:rsidR="00D55698" w:rsidTr="00771575">
        <w:trPr>
          <w:trHeight w:val="108"/>
        </w:trPr>
        <w:tc>
          <w:tcPr>
            <w:tcW w:w="3240" w:type="dxa"/>
            <w:shd w:val="clear" w:color="auto" w:fill="D9D9D9" w:themeFill="background1" w:themeFillShade="D9"/>
            <w:vAlign w:val="center"/>
          </w:tcPr>
          <w:p w:rsidR="00D55698" w:rsidRDefault="00D55698">
            <w:pPr>
              <w:pStyle w:val="Default"/>
              <w:rPr>
                <w:sz w:val="23"/>
                <w:szCs w:val="23"/>
              </w:rPr>
            </w:pPr>
            <w:r>
              <w:rPr>
                <w:b/>
                <w:bCs/>
                <w:sz w:val="23"/>
                <w:szCs w:val="23"/>
              </w:rPr>
              <w:t xml:space="preserve">Auto-dialer </w:t>
            </w:r>
          </w:p>
        </w:tc>
        <w:tc>
          <w:tcPr>
            <w:tcW w:w="5553" w:type="dxa"/>
            <w:shd w:val="clear" w:color="auto" w:fill="D9D9D9" w:themeFill="background1" w:themeFillShade="D9"/>
            <w:vAlign w:val="center"/>
          </w:tcPr>
          <w:p w:rsidR="00D55698" w:rsidRDefault="00D55698">
            <w:pPr>
              <w:pStyle w:val="Default"/>
              <w:rPr>
                <w:sz w:val="23"/>
                <w:szCs w:val="23"/>
              </w:rPr>
            </w:pPr>
            <w:r>
              <w:rPr>
                <w:b/>
                <w:bCs/>
                <w:sz w:val="23"/>
                <w:szCs w:val="23"/>
              </w:rPr>
              <w:t xml:space="preserve">Website </w:t>
            </w:r>
          </w:p>
        </w:tc>
      </w:tr>
      <w:tr w:rsidR="00D55698" w:rsidTr="00771575">
        <w:trPr>
          <w:trHeight w:val="103"/>
        </w:trPr>
        <w:tc>
          <w:tcPr>
            <w:tcW w:w="3240" w:type="dxa"/>
          </w:tcPr>
          <w:p w:rsidR="00D55698" w:rsidRDefault="00D55698">
            <w:pPr>
              <w:pStyle w:val="Default"/>
              <w:rPr>
                <w:sz w:val="22"/>
                <w:szCs w:val="22"/>
              </w:rPr>
            </w:pPr>
            <w:r>
              <w:rPr>
                <w:sz w:val="22"/>
                <w:szCs w:val="22"/>
              </w:rPr>
              <w:t xml:space="preserve">Call-em-all </w:t>
            </w:r>
          </w:p>
        </w:tc>
        <w:tc>
          <w:tcPr>
            <w:tcW w:w="5553" w:type="dxa"/>
          </w:tcPr>
          <w:p w:rsidR="00D55698" w:rsidRDefault="006712B7">
            <w:pPr>
              <w:pStyle w:val="Default"/>
              <w:rPr>
                <w:sz w:val="22"/>
                <w:szCs w:val="22"/>
              </w:rPr>
            </w:pPr>
            <w:hyperlink r:id="rId13" w:history="1">
              <w:r w:rsidR="00D55698" w:rsidRPr="002B01B2">
                <w:rPr>
                  <w:rStyle w:val="Hyperlink"/>
                  <w:sz w:val="22"/>
                  <w:szCs w:val="22"/>
                </w:rPr>
                <w:t>https://www.call-em-all.com/</w:t>
              </w:r>
            </w:hyperlink>
            <w:r w:rsidR="00D55698">
              <w:rPr>
                <w:sz w:val="22"/>
                <w:szCs w:val="22"/>
              </w:rPr>
              <w:t xml:space="preserve">  </w:t>
            </w:r>
          </w:p>
        </w:tc>
      </w:tr>
      <w:tr w:rsidR="00D55698" w:rsidTr="00771575">
        <w:trPr>
          <w:trHeight w:val="103"/>
        </w:trPr>
        <w:tc>
          <w:tcPr>
            <w:tcW w:w="3240" w:type="dxa"/>
          </w:tcPr>
          <w:p w:rsidR="00D55698" w:rsidRDefault="00D55698">
            <w:pPr>
              <w:pStyle w:val="Default"/>
              <w:rPr>
                <w:sz w:val="22"/>
                <w:szCs w:val="22"/>
              </w:rPr>
            </w:pPr>
            <w:r>
              <w:rPr>
                <w:sz w:val="22"/>
                <w:szCs w:val="22"/>
              </w:rPr>
              <w:t xml:space="preserve">Call Fire </w:t>
            </w:r>
          </w:p>
        </w:tc>
        <w:tc>
          <w:tcPr>
            <w:tcW w:w="5553" w:type="dxa"/>
          </w:tcPr>
          <w:p w:rsidR="00D55698" w:rsidRDefault="006712B7">
            <w:pPr>
              <w:pStyle w:val="Default"/>
              <w:rPr>
                <w:sz w:val="22"/>
                <w:szCs w:val="22"/>
              </w:rPr>
            </w:pPr>
            <w:hyperlink r:id="rId14" w:history="1">
              <w:r w:rsidR="00D55698" w:rsidRPr="002B01B2">
                <w:rPr>
                  <w:rStyle w:val="Hyperlink"/>
                  <w:sz w:val="22"/>
                  <w:szCs w:val="22"/>
                </w:rPr>
                <w:t>http://www.callfire.com</w:t>
              </w:r>
            </w:hyperlink>
            <w:r w:rsidR="00D55698">
              <w:rPr>
                <w:sz w:val="22"/>
                <w:szCs w:val="22"/>
              </w:rPr>
              <w:t xml:space="preserve">  </w:t>
            </w:r>
          </w:p>
        </w:tc>
      </w:tr>
      <w:tr w:rsidR="00D55698" w:rsidTr="00771575">
        <w:trPr>
          <w:trHeight w:val="103"/>
        </w:trPr>
        <w:tc>
          <w:tcPr>
            <w:tcW w:w="3240" w:type="dxa"/>
          </w:tcPr>
          <w:p w:rsidR="00D55698" w:rsidRDefault="00D55698">
            <w:pPr>
              <w:pStyle w:val="Default"/>
              <w:rPr>
                <w:sz w:val="22"/>
                <w:szCs w:val="22"/>
              </w:rPr>
            </w:pPr>
            <w:r>
              <w:rPr>
                <w:sz w:val="22"/>
                <w:szCs w:val="22"/>
              </w:rPr>
              <w:t xml:space="preserve">Televox/West </w:t>
            </w:r>
          </w:p>
        </w:tc>
        <w:tc>
          <w:tcPr>
            <w:tcW w:w="5553" w:type="dxa"/>
          </w:tcPr>
          <w:p w:rsidR="00D55698" w:rsidRDefault="006712B7">
            <w:pPr>
              <w:pStyle w:val="Default"/>
              <w:rPr>
                <w:sz w:val="22"/>
                <w:szCs w:val="22"/>
              </w:rPr>
            </w:pPr>
            <w:hyperlink r:id="rId15" w:history="1">
              <w:r w:rsidR="00D55698" w:rsidRPr="002B01B2">
                <w:rPr>
                  <w:rStyle w:val="Hyperlink"/>
                  <w:sz w:val="22"/>
                  <w:szCs w:val="22"/>
                </w:rPr>
                <w:t>http://www.televox.com/appointment-reminders/</w:t>
              </w:r>
            </w:hyperlink>
            <w:r w:rsidR="00D55698">
              <w:rPr>
                <w:sz w:val="22"/>
                <w:szCs w:val="22"/>
              </w:rPr>
              <w:t xml:space="preserve">  </w:t>
            </w:r>
          </w:p>
        </w:tc>
      </w:tr>
      <w:tr w:rsidR="00D55698" w:rsidTr="00771575">
        <w:trPr>
          <w:trHeight w:val="103"/>
        </w:trPr>
        <w:tc>
          <w:tcPr>
            <w:tcW w:w="3240" w:type="dxa"/>
          </w:tcPr>
          <w:p w:rsidR="00D55698" w:rsidRDefault="00D55698">
            <w:pPr>
              <w:pStyle w:val="Default"/>
              <w:rPr>
                <w:sz w:val="22"/>
                <w:szCs w:val="22"/>
              </w:rPr>
            </w:pPr>
            <w:r>
              <w:rPr>
                <w:sz w:val="22"/>
                <w:szCs w:val="22"/>
              </w:rPr>
              <w:t xml:space="preserve">Voicent </w:t>
            </w:r>
          </w:p>
        </w:tc>
        <w:tc>
          <w:tcPr>
            <w:tcW w:w="5553" w:type="dxa"/>
          </w:tcPr>
          <w:p w:rsidR="00D55698" w:rsidRDefault="006712B7">
            <w:pPr>
              <w:pStyle w:val="Default"/>
              <w:rPr>
                <w:sz w:val="22"/>
                <w:szCs w:val="22"/>
              </w:rPr>
            </w:pPr>
            <w:hyperlink r:id="rId16" w:history="1">
              <w:r w:rsidR="00D55698" w:rsidRPr="002B01B2">
                <w:rPr>
                  <w:rStyle w:val="Hyperlink"/>
                  <w:sz w:val="22"/>
                  <w:szCs w:val="22"/>
                </w:rPr>
                <w:t>http://www.voicent.com/autodialers.php</w:t>
              </w:r>
            </w:hyperlink>
            <w:r w:rsidR="00D55698">
              <w:rPr>
                <w:sz w:val="22"/>
                <w:szCs w:val="22"/>
              </w:rPr>
              <w:t xml:space="preserve">  </w:t>
            </w:r>
          </w:p>
        </w:tc>
      </w:tr>
    </w:tbl>
    <w:p w:rsidR="006E5630" w:rsidRDefault="006E5630" w:rsidP="006E5630">
      <w:pPr>
        <w:spacing w:after="0" w:line="240" w:lineRule="auto"/>
        <w:rPr>
          <w:rFonts w:ascii="Arial" w:hAnsi="Arial" w:cs="Arial"/>
          <w:b/>
          <w:color w:val="1F4E79" w:themeColor="accent1" w:themeShade="80"/>
        </w:rPr>
      </w:pPr>
    </w:p>
    <w:p w:rsidR="00771575" w:rsidRPr="00771575" w:rsidRDefault="00771575" w:rsidP="006E5630">
      <w:pPr>
        <w:spacing w:line="240" w:lineRule="auto"/>
        <w:rPr>
          <w:rFonts w:ascii="Arial" w:hAnsi="Arial" w:cs="Arial"/>
          <w:b/>
          <w:color w:val="1F4E79" w:themeColor="accent1" w:themeShade="80"/>
        </w:rPr>
      </w:pPr>
      <w:r w:rsidRPr="00771575">
        <w:rPr>
          <w:rFonts w:ascii="Arial" w:hAnsi="Arial" w:cs="Arial"/>
          <w:b/>
          <w:color w:val="1F4E79" w:themeColor="accent1" w:themeShade="80"/>
        </w:rPr>
        <w:t>Hold Vaccine Clinics at Hours that are Convenient for Families</w:t>
      </w:r>
    </w:p>
    <w:p w:rsidR="00771575" w:rsidRDefault="00771575" w:rsidP="006E5630">
      <w:pPr>
        <w:rPr>
          <w:rFonts w:ascii="Arial" w:hAnsi="Arial" w:cs="Arial"/>
        </w:rPr>
      </w:pPr>
      <w:r w:rsidRPr="00553228">
        <w:rPr>
          <w:rFonts w:ascii="Arial" w:hAnsi="Arial" w:cs="Arial"/>
        </w:rPr>
        <w:t>Holding vaccination clinics</w:t>
      </w:r>
      <w:r w:rsidR="006712B7">
        <w:rPr>
          <w:rFonts w:ascii="Arial" w:hAnsi="Arial" w:cs="Arial"/>
        </w:rPr>
        <w:t xml:space="preserve"> with special hours (evenings, </w:t>
      </w:r>
      <w:r w:rsidRPr="00553228">
        <w:rPr>
          <w:rFonts w:ascii="Arial" w:hAnsi="Arial" w:cs="Arial"/>
        </w:rPr>
        <w:t>Saturday</w:t>
      </w:r>
      <w:r w:rsidR="006712B7">
        <w:rPr>
          <w:rFonts w:ascii="Arial" w:hAnsi="Arial" w:cs="Arial"/>
        </w:rPr>
        <w:t>s or Sundays</w:t>
      </w:r>
      <w:r w:rsidRPr="00553228">
        <w:rPr>
          <w:rFonts w:ascii="Arial" w:hAnsi="Arial" w:cs="Arial"/>
        </w:rPr>
        <w:t>) at your practice allows for adolescents and their parents</w:t>
      </w:r>
      <w:r w:rsidR="00CA3F8C" w:rsidRPr="00553228">
        <w:rPr>
          <w:rFonts w:ascii="Arial" w:hAnsi="Arial" w:cs="Arial"/>
        </w:rPr>
        <w:t xml:space="preserve"> with busy schedules</w:t>
      </w:r>
      <w:r w:rsidRPr="00553228">
        <w:rPr>
          <w:rFonts w:ascii="Arial" w:hAnsi="Arial" w:cs="Arial"/>
        </w:rPr>
        <w:t xml:space="preserve"> to access vaccination services. </w:t>
      </w:r>
      <w:r w:rsidR="00553228" w:rsidRPr="00553228">
        <w:rPr>
          <w:rFonts w:ascii="Arial" w:hAnsi="Arial" w:cs="Arial"/>
        </w:rPr>
        <w:t>Offering special hours w</w:t>
      </w:r>
      <w:r w:rsidRPr="00553228">
        <w:rPr>
          <w:rFonts w:ascii="Arial" w:hAnsi="Arial" w:cs="Arial"/>
        </w:rPr>
        <w:t>ork</w:t>
      </w:r>
      <w:r w:rsidR="00553228" w:rsidRPr="00553228">
        <w:rPr>
          <w:rFonts w:ascii="Arial" w:hAnsi="Arial" w:cs="Arial"/>
        </w:rPr>
        <w:t>s</w:t>
      </w:r>
      <w:r w:rsidRPr="00553228">
        <w:rPr>
          <w:rFonts w:ascii="Arial" w:hAnsi="Arial" w:cs="Arial"/>
        </w:rPr>
        <w:t xml:space="preserve"> especially well for </w:t>
      </w:r>
      <w:r w:rsidR="00553228" w:rsidRPr="00553228">
        <w:rPr>
          <w:rFonts w:ascii="Arial" w:hAnsi="Arial" w:cs="Arial"/>
        </w:rPr>
        <w:t xml:space="preserve">administration on </w:t>
      </w:r>
      <w:r w:rsidRPr="00553228">
        <w:rPr>
          <w:rFonts w:ascii="Arial" w:hAnsi="Arial" w:cs="Arial"/>
        </w:rPr>
        <w:t xml:space="preserve">influenza vaccinations. </w:t>
      </w:r>
      <w:bookmarkStart w:id="0" w:name="_GoBack"/>
      <w:bookmarkEnd w:id="0"/>
    </w:p>
    <w:p w:rsidR="00B07ED6" w:rsidRPr="00605B8A" w:rsidRDefault="00B07ED6" w:rsidP="00B07ED6">
      <w:pPr>
        <w:rPr>
          <w:rFonts w:ascii="Arial" w:hAnsi="Arial" w:cs="Arial"/>
          <w:b/>
          <w:color w:val="1F4E79" w:themeColor="accent1" w:themeShade="80"/>
        </w:rPr>
      </w:pPr>
      <w:r w:rsidRPr="00605B8A">
        <w:rPr>
          <w:rFonts w:ascii="Arial" w:hAnsi="Arial" w:cs="Arial"/>
          <w:b/>
          <w:color w:val="1F4E79" w:themeColor="accent1" w:themeShade="80"/>
        </w:rPr>
        <w:t>Provide a Strong Recommendation</w:t>
      </w:r>
    </w:p>
    <w:p w:rsidR="003A6D41" w:rsidRDefault="003A6D41" w:rsidP="00605B8A">
      <w:pPr>
        <w:spacing w:after="0" w:line="240" w:lineRule="auto"/>
        <w:rPr>
          <w:rFonts w:ascii="Arial" w:hAnsi="Arial" w:cs="Arial"/>
        </w:rPr>
      </w:pPr>
      <w:r w:rsidRPr="003A6D41">
        <w:rPr>
          <w:rFonts w:ascii="Arial" w:hAnsi="Arial" w:cs="Arial"/>
        </w:rPr>
        <w:t>Studies have shown that parents trust their pediatrician’s guidance and it is important to give a strong recommendation for vaccination</w:t>
      </w:r>
      <w:r w:rsidR="00605B8A">
        <w:rPr>
          <w:rFonts w:ascii="Arial" w:hAnsi="Arial" w:cs="Arial"/>
        </w:rPr>
        <w:t>. S</w:t>
      </w:r>
      <w:r w:rsidRPr="003A6D41">
        <w:rPr>
          <w:rFonts w:ascii="Arial" w:hAnsi="Arial" w:cs="Arial"/>
        </w:rPr>
        <w:t>tudies show parents believe vaccines are important for child health and rate the importance of disease prevention higher than concerns about the number of injections involved. Be sure to give a strong recommendation for all vaccines on the current schedule and not merely mention that they are available. Studies show a ‘presumptive’ or ‘announcement’ rather than ‘participatory’ approach is associated with signi</w:t>
      </w:r>
      <w:r w:rsidR="00605B8A">
        <w:rPr>
          <w:rFonts w:ascii="Arial" w:hAnsi="Arial" w:cs="Arial"/>
        </w:rPr>
        <w:t>ficantly fewer vaccine refusals.</w:t>
      </w:r>
    </w:p>
    <w:p w:rsidR="00605B8A" w:rsidRPr="003A6D41" w:rsidRDefault="00605B8A" w:rsidP="00605B8A">
      <w:pPr>
        <w:spacing w:after="0" w:line="240" w:lineRule="auto"/>
        <w:rPr>
          <w:rFonts w:ascii="Arial" w:hAnsi="Arial" w:cs="Arial"/>
        </w:rPr>
      </w:pPr>
    </w:p>
    <w:p w:rsidR="00061E23" w:rsidRPr="00605B8A" w:rsidRDefault="00061E23" w:rsidP="003A6D41">
      <w:pPr>
        <w:rPr>
          <w:rFonts w:ascii="Arial" w:hAnsi="Arial" w:cs="Arial"/>
          <w:b/>
          <w:color w:val="1F4E79" w:themeColor="accent1" w:themeShade="80"/>
        </w:rPr>
      </w:pPr>
      <w:r w:rsidRPr="00605B8A">
        <w:rPr>
          <w:rFonts w:ascii="Arial" w:hAnsi="Arial" w:cs="Arial"/>
          <w:b/>
          <w:color w:val="1F4E79" w:themeColor="accent1" w:themeShade="80"/>
        </w:rPr>
        <w:t>Provider Prompts</w:t>
      </w:r>
    </w:p>
    <w:p w:rsidR="00061E23" w:rsidRDefault="00061E23" w:rsidP="00B07ED6">
      <w:pPr>
        <w:rPr>
          <w:rFonts w:ascii="Arial" w:hAnsi="Arial" w:cs="Arial"/>
        </w:rPr>
      </w:pPr>
      <w:r w:rsidRPr="00061E23">
        <w:rPr>
          <w:rFonts w:ascii="Arial" w:hAnsi="Arial" w:cs="Arial"/>
        </w:rPr>
        <w:t>Provider prompts usually consist of electronic prompts in Electronic Health Records (EHRs) or notes/flags in paper charts. Most EHR provider prompts are automatic pop-up alerts that notify the viewer that the patient is due/overdue for an immunization. Other EHR provider prompts may show up as a "to-do" task, even if the patient is not scheduled that day for an appointment. Many EHRs have provider prompts pre-installed that can be customized in the office. Notes/flags in paper charts must be added manually, after revi</w:t>
      </w:r>
      <w:r w:rsidR="006256CC">
        <w:rPr>
          <w:rFonts w:ascii="Arial" w:hAnsi="Arial" w:cs="Arial"/>
        </w:rPr>
        <w:t>ew of the chart for due vaccinations</w:t>
      </w:r>
      <w:r w:rsidRPr="00061E23">
        <w:rPr>
          <w:rFonts w:ascii="Arial" w:hAnsi="Arial" w:cs="Arial"/>
        </w:rPr>
        <w:t>.</w:t>
      </w:r>
    </w:p>
    <w:p w:rsidR="006256CC" w:rsidRPr="006256CC" w:rsidRDefault="006256CC" w:rsidP="006256CC">
      <w:pPr>
        <w:rPr>
          <w:rFonts w:ascii="Arial" w:hAnsi="Arial" w:cs="Arial"/>
          <w:b/>
        </w:rPr>
      </w:pPr>
      <w:r w:rsidRPr="006256CC">
        <w:rPr>
          <w:rFonts w:ascii="Arial" w:hAnsi="Arial" w:cs="Arial"/>
          <w:b/>
        </w:rPr>
        <w:t>Educate Staff</w:t>
      </w:r>
    </w:p>
    <w:p w:rsidR="006256CC" w:rsidRPr="006256CC" w:rsidRDefault="006256CC" w:rsidP="006256CC">
      <w:pPr>
        <w:rPr>
          <w:rFonts w:ascii="Arial" w:hAnsi="Arial" w:cs="Arial"/>
          <w:highlight w:val="yellow"/>
        </w:rPr>
      </w:pPr>
      <w:r w:rsidRPr="006256CC">
        <w:rPr>
          <w:rFonts w:ascii="Arial" w:hAnsi="Arial" w:cs="Arial"/>
        </w:rPr>
        <w:t xml:space="preserve">Provide staff training about evidence-based communication strategies known to improve vaccine confidence. Ensure they are comfortable addressing questions on immunizations and prompting for all recommended vaccinations at every visit. Designate someone to screen all immunization records before </w:t>
      </w:r>
      <w:r w:rsidR="00605B8A">
        <w:rPr>
          <w:rFonts w:ascii="Arial" w:hAnsi="Arial" w:cs="Arial"/>
        </w:rPr>
        <w:t xml:space="preserve">the </w:t>
      </w:r>
      <w:r w:rsidRPr="006256CC">
        <w:rPr>
          <w:rFonts w:ascii="Arial" w:hAnsi="Arial" w:cs="Arial"/>
        </w:rPr>
        <w:t>patient is seen. Training front desk/scheduling staff will also help to ensure that parents are well informed about their child’s immunization</w:t>
      </w:r>
      <w:r w:rsidRPr="006256CC">
        <w:t xml:space="preserve"> </w:t>
      </w:r>
      <w:r w:rsidRPr="006256CC">
        <w:rPr>
          <w:rFonts w:ascii="Arial" w:hAnsi="Arial" w:cs="Arial"/>
        </w:rPr>
        <w:t xml:space="preserve">needs. </w:t>
      </w:r>
    </w:p>
    <w:p w:rsidR="005000A2" w:rsidRDefault="005000A2" w:rsidP="00573472">
      <w:pPr>
        <w:spacing w:after="0" w:line="240" w:lineRule="auto"/>
        <w:rPr>
          <w:rFonts w:ascii="Arial" w:hAnsi="Arial" w:cs="Arial"/>
          <w:b/>
        </w:rPr>
      </w:pPr>
    </w:p>
    <w:sectPr w:rsidR="005000A2" w:rsidSect="005000A2">
      <w:footerReference w:type="default" r:id="rId17"/>
      <w:footnotePr>
        <w:pos w:val="beneathText"/>
      </w:footnotePr>
      <w:endnotePr>
        <w:numRestart w:val="eachSect"/>
      </w:endnotePr>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7E" w:rsidRPr="00857E02" w:rsidRDefault="0012017E" w:rsidP="00857E02">
      <w:pPr>
        <w:pStyle w:val="Footer"/>
      </w:pPr>
    </w:p>
  </w:endnote>
  <w:endnote w:type="continuationSeparator" w:id="0">
    <w:p w:rsidR="0012017E" w:rsidRPr="00857E02" w:rsidRDefault="0012017E" w:rsidP="00857E0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893241"/>
      <w:docPartObj>
        <w:docPartGallery w:val="Page Numbers (Bottom of Page)"/>
        <w:docPartUnique/>
      </w:docPartObj>
    </w:sdtPr>
    <w:sdtEndPr/>
    <w:sdtContent>
      <w:sdt>
        <w:sdtPr>
          <w:id w:val="-1326745323"/>
          <w:docPartObj>
            <w:docPartGallery w:val="Page Numbers (Top of Page)"/>
            <w:docPartUnique/>
          </w:docPartObj>
        </w:sdtPr>
        <w:sdtEndPr/>
        <w:sdtContent>
          <w:p w:rsidR="006E5630" w:rsidRPr="005000A2" w:rsidRDefault="006E5630" w:rsidP="005000A2">
            <w:pPr>
              <w:pStyle w:val="Footer"/>
              <w:tabs>
                <w:tab w:val="left" w:pos="5358"/>
              </w:tabs>
              <w:jc w:val="center"/>
            </w:pPr>
            <w:r w:rsidRPr="005000A2">
              <w:t xml:space="preserve">Page </w:t>
            </w:r>
            <w:r w:rsidRPr="005000A2">
              <w:rPr>
                <w:bCs/>
              </w:rPr>
              <w:fldChar w:fldCharType="begin"/>
            </w:r>
            <w:r w:rsidRPr="005000A2">
              <w:rPr>
                <w:bCs/>
              </w:rPr>
              <w:instrText xml:space="preserve"> PAGE </w:instrText>
            </w:r>
            <w:r w:rsidRPr="005000A2">
              <w:rPr>
                <w:bCs/>
              </w:rPr>
              <w:fldChar w:fldCharType="separate"/>
            </w:r>
            <w:r w:rsidR="006712B7">
              <w:rPr>
                <w:bCs/>
                <w:noProof/>
              </w:rPr>
              <w:t>2</w:t>
            </w:r>
            <w:r w:rsidRPr="005000A2">
              <w:rPr>
                <w:bCs/>
              </w:rPr>
              <w:fldChar w:fldCharType="end"/>
            </w:r>
            <w:r w:rsidRPr="005000A2">
              <w:t xml:space="preserve"> of </w:t>
            </w:r>
            <w:r w:rsidRPr="005000A2">
              <w:rPr>
                <w:bCs/>
              </w:rPr>
              <w:fldChar w:fldCharType="begin"/>
            </w:r>
            <w:r w:rsidRPr="005000A2">
              <w:rPr>
                <w:bCs/>
              </w:rPr>
              <w:instrText xml:space="preserve"> NUMPAGES  </w:instrText>
            </w:r>
            <w:r w:rsidRPr="005000A2">
              <w:rPr>
                <w:bCs/>
              </w:rPr>
              <w:fldChar w:fldCharType="separate"/>
            </w:r>
            <w:r w:rsidR="006712B7">
              <w:rPr>
                <w:bCs/>
                <w:noProof/>
              </w:rPr>
              <w:t>2</w:t>
            </w:r>
            <w:r w:rsidRPr="005000A2">
              <w:rPr>
                <w:bCs/>
              </w:rPr>
              <w:fldChar w:fldCharType="end"/>
            </w:r>
            <w:r w:rsidRPr="005000A2">
              <w:rPr>
                <w:bCs/>
              </w:rPr>
              <w:t xml:space="preserve"> </w:t>
            </w:r>
            <w:r w:rsidRPr="005000A2">
              <w:rPr>
                <w:bCs/>
              </w:rPr>
              <w:tab/>
            </w:r>
            <w:r w:rsidRPr="005000A2">
              <w:rPr>
                <w:bCs/>
              </w:rPr>
              <w:tab/>
            </w:r>
            <w:r w:rsidR="005000A2">
              <w:rPr>
                <w:bCs/>
              </w:rPr>
              <w:tab/>
            </w:r>
            <w:r w:rsidR="00871CA4">
              <w:rPr>
                <w:bCs/>
              </w:rPr>
              <w:t>Updated December</w:t>
            </w:r>
            <w:r w:rsidRPr="005000A2">
              <w:rPr>
                <w:bCs/>
              </w:rPr>
              <w:t xml:space="preserve">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7E" w:rsidRPr="00857E02" w:rsidRDefault="0012017E" w:rsidP="00857E02">
      <w:pPr>
        <w:pStyle w:val="Footer"/>
      </w:pPr>
    </w:p>
  </w:footnote>
  <w:footnote w:type="continuationSeparator" w:id="0">
    <w:p w:rsidR="0012017E" w:rsidRPr="00857E02" w:rsidRDefault="0012017E" w:rsidP="00857E02">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01DD1"/>
    <w:multiLevelType w:val="hybridMultilevel"/>
    <w:tmpl w:val="320E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B4134"/>
    <w:multiLevelType w:val="hybridMultilevel"/>
    <w:tmpl w:val="4BA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434E4"/>
    <w:multiLevelType w:val="hybridMultilevel"/>
    <w:tmpl w:val="CA2C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pos w:val="beneathText"/>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0C"/>
    <w:rsid w:val="00061E23"/>
    <w:rsid w:val="000F3622"/>
    <w:rsid w:val="0012017E"/>
    <w:rsid w:val="0024630C"/>
    <w:rsid w:val="00383A31"/>
    <w:rsid w:val="003A6D41"/>
    <w:rsid w:val="003B5B3C"/>
    <w:rsid w:val="003F5861"/>
    <w:rsid w:val="00462C0C"/>
    <w:rsid w:val="005000A2"/>
    <w:rsid w:val="0051021A"/>
    <w:rsid w:val="00553228"/>
    <w:rsid w:val="00554402"/>
    <w:rsid w:val="00573472"/>
    <w:rsid w:val="00605B8A"/>
    <w:rsid w:val="006256CC"/>
    <w:rsid w:val="006712B7"/>
    <w:rsid w:val="006E5630"/>
    <w:rsid w:val="00771575"/>
    <w:rsid w:val="008359D8"/>
    <w:rsid w:val="00852D5D"/>
    <w:rsid w:val="00857E02"/>
    <w:rsid w:val="00871CA4"/>
    <w:rsid w:val="009312C7"/>
    <w:rsid w:val="0096605B"/>
    <w:rsid w:val="009C2EFB"/>
    <w:rsid w:val="00B07ED6"/>
    <w:rsid w:val="00B83704"/>
    <w:rsid w:val="00CA3F8C"/>
    <w:rsid w:val="00D55698"/>
    <w:rsid w:val="00D67856"/>
    <w:rsid w:val="00D83E00"/>
    <w:rsid w:val="00E513F5"/>
    <w:rsid w:val="00E87538"/>
    <w:rsid w:val="00EA3875"/>
    <w:rsid w:val="00EC320B"/>
    <w:rsid w:val="00F23EEC"/>
    <w:rsid w:val="00F6487B"/>
    <w:rsid w:val="00F70BC8"/>
    <w:rsid w:val="00F8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3B931"/>
  <w15:chartTrackingRefBased/>
  <w15:docId w15:val="{AF425A9E-E72E-4F18-9DAF-61FCEDBD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C7"/>
    <w:pPr>
      <w:ind w:left="720"/>
      <w:contextualSpacing/>
    </w:pPr>
  </w:style>
  <w:style w:type="character" w:styleId="Hyperlink">
    <w:name w:val="Hyperlink"/>
    <w:basedOn w:val="DefaultParagraphFont"/>
    <w:uiPriority w:val="99"/>
    <w:unhideWhenUsed/>
    <w:rsid w:val="00D55698"/>
    <w:rPr>
      <w:color w:val="0563C1" w:themeColor="hyperlink"/>
      <w:u w:val="single"/>
    </w:rPr>
  </w:style>
  <w:style w:type="paragraph" w:customStyle="1" w:styleId="Default">
    <w:name w:val="Default"/>
    <w:rsid w:val="00D5569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A6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D41"/>
    <w:rPr>
      <w:sz w:val="20"/>
      <w:szCs w:val="20"/>
    </w:rPr>
  </w:style>
  <w:style w:type="character" w:styleId="FootnoteReference">
    <w:name w:val="footnote reference"/>
    <w:basedOn w:val="DefaultParagraphFont"/>
    <w:uiPriority w:val="99"/>
    <w:semiHidden/>
    <w:unhideWhenUsed/>
    <w:rsid w:val="003A6D41"/>
    <w:rPr>
      <w:vertAlign w:val="superscript"/>
    </w:rPr>
  </w:style>
  <w:style w:type="paragraph" w:styleId="EndnoteText">
    <w:name w:val="endnote text"/>
    <w:basedOn w:val="Normal"/>
    <w:link w:val="EndnoteTextChar"/>
    <w:uiPriority w:val="99"/>
    <w:semiHidden/>
    <w:unhideWhenUsed/>
    <w:rsid w:val="009660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05B"/>
    <w:rPr>
      <w:sz w:val="20"/>
      <w:szCs w:val="20"/>
    </w:rPr>
  </w:style>
  <w:style w:type="character" w:styleId="EndnoteReference">
    <w:name w:val="endnote reference"/>
    <w:basedOn w:val="DefaultParagraphFont"/>
    <w:uiPriority w:val="99"/>
    <w:semiHidden/>
    <w:unhideWhenUsed/>
    <w:rsid w:val="0096605B"/>
    <w:rPr>
      <w:vertAlign w:val="superscript"/>
    </w:rPr>
  </w:style>
  <w:style w:type="paragraph" w:styleId="Header">
    <w:name w:val="header"/>
    <w:basedOn w:val="Normal"/>
    <w:link w:val="HeaderChar"/>
    <w:uiPriority w:val="99"/>
    <w:unhideWhenUsed/>
    <w:rsid w:val="006E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30"/>
  </w:style>
  <w:style w:type="paragraph" w:styleId="Footer">
    <w:name w:val="footer"/>
    <w:basedOn w:val="Normal"/>
    <w:link w:val="FooterChar"/>
    <w:uiPriority w:val="99"/>
    <w:unhideWhenUsed/>
    <w:rsid w:val="006E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30"/>
  </w:style>
  <w:style w:type="character" w:styleId="FollowedHyperlink">
    <w:name w:val="FollowedHyperlink"/>
    <w:basedOn w:val="DefaultParagraphFont"/>
    <w:uiPriority w:val="99"/>
    <w:semiHidden/>
    <w:unhideWhenUsed/>
    <w:rsid w:val="00857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l-em-a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p.org/en-us/Documents/immunization_reminderrecal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oicent.com/autodialer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accines/recs/reminder-sys.htm" TargetMode="External"/><Relationship Id="rId5" Type="http://schemas.openxmlformats.org/officeDocument/2006/relationships/webSettings" Target="webSettings.xml"/><Relationship Id="rId15" Type="http://schemas.openxmlformats.org/officeDocument/2006/relationships/hyperlink" Target="http://www.televox.com/appointment-reminders/" TargetMode="External"/><Relationship Id="rId10" Type="http://schemas.openxmlformats.org/officeDocument/2006/relationships/image" Target="cid:ii_k3eynrig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ll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C859-4FE6-4EAD-B7CB-26700485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Hewett</dc:creator>
  <cp:keywords/>
  <dc:description/>
  <cp:lastModifiedBy>Stacy Hall</cp:lastModifiedBy>
  <cp:revision>2</cp:revision>
  <cp:lastPrinted>2019-12-10T19:03:00Z</cp:lastPrinted>
  <dcterms:created xsi:type="dcterms:W3CDTF">2019-12-18T22:41:00Z</dcterms:created>
  <dcterms:modified xsi:type="dcterms:W3CDTF">2019-12-18T22:41:00Z</dcterms:modified>
</cp:coreProperties>
</file>